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2AA5" w14:textId="77777777" w:rsidR="00B60688" w:rsidRPr="00087077" w:rsidRDefault="00B9781C" w:rsidP="00B9781C">
      <w:pPr>
        <w:jc w:val="center"/>
        <w:rPr>
          <w:sz w:val="28"/>
          <w:szCs w:val="28"/>
        </w:rPr>
      </w:pPr>
      <w:r w:rsidRPr="00087077">
        <w:rPr>
          <w:rFonts w:ascii="Arial" w:eastAsia="Times New Roman" w:hAnsi="Arial" w:cs="Arial"/>
          <w:noProof/>
          <w:sz w:val="28"/>
          <w:szCs w:val="28"/>
        </w:rPr>
        <w:drawing>
          <wp:inline distT="0" distB="0" distL="0" distR="0" wp14:anchorId="70DCBDBC" wp14:editId="5F67B9ED">
            <wp:extent cx="1266483" cy="571500"/>
            <wp:effectExtent l="0" t="0" r="0" b="0"/>
            <wp:docPr id="5"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578" cy="583275"/>
                    </a:xfrm>
                    <a:prstGeom prst="rect">
                      <a:avLst/>
                    </a:prstGeom>
                    <a:noFill/>
                    <a:ln>
                      <a:noFill/>
                    </a:ln>
                  </pic:spPr>
                </pic:pic>
              </a:graphicData>
            </a:graphic>
          </wp:inline>
        </w:drawing>
      </w:r>
    </w:p>
    <w:p w14:paraId="0D4CCBBE" w14:textId="77777777" w:rsidR="00ED4739" w:rsidRPr="00087077" w:rsidRDefault="00ED4739" w:rsidP="00ED4739">
      <w:pPr>
        <w:pStyle w:val="NoSpacing"/>
        <w:jc w:val="center"/>
        <w:rPr>
          <w:rFonts w:ascii="Century Gothic" w:hAnsi="Century Gothic" w:cs="Tahoma"/>
          <w:b/>
          <w:sz w:val="28"/>
          <w:szCs w:val="28"/>
        </w:rPr>
      </w:pPr>
      <w:r w:rsidRPr="00087077">
        <w:rPr>
          <w:rFonts w:ascii="Century Gothic" w:hAnsi="Century Gothic" w:cs="Tahoma"/>
          <w:b/>
          <w:sz w:val="28"/>
          <w:szCs w:val="28"/>
        </w:rPr>
        <w:t>FEDERAL INLAND REVENUE SERVICE</w:t>
      </w:r>
    </w:p>
    <w:p w14:paraId="5630FCA8" w14:textId="77777777" w:rsidR="00ED4739" w:rsidRPr="00087077" w:rsidRDefault="00ED4739" w:rsidP="00ED4739">
      <w:pPr>
        <w:pStyle w:val="NoSpacing"/>
        <w:jc w:val="center"/>
        <w:rPr>
          <w:rFonts w:ascii="Century Gothic" w:hAnsi="Century Gothic" w:cs="Tahoma"/>
          <w:b/>
          <w:sz w:val="28"/>
          <w:szCs w:val="28"/>
        </w:rPr>
      </w:pPr>
      <w:r w:rsidRPr="00087077">
        <w:rPr>
          <w:rFonts w:ascii="Century Gothic" w:hAnsi="Century Gothic" w:cs="Tahoma"/>
          <w:b/>
          <w:sz w:val="28"/>
          <w:szCs w:val="28"/>
        </w:rPr>
        <w:t xml:space="preserve">15, SOKODE CRESCENT, WUSE ZONE 5, </w:t>
      </w:r>
    </w:p>
    <w:p w14:paraId="3059A18F" w14:textId="77777777" w:rsidR="00ED4739" w:rsidRPr="00087077" w:rsidRDefault="00ED4739" w:rsidP="00ED4739">
      <w:pPr>
        <w:pStyle w:val="NoSpacing"/>
        <w:jc w:val="center"/>
        <w:rPr>
          <w:rFonts w:ascii="Century Gothic" w:hAnsi="Century Gothic" w:cs="Tahoma"/>
          <w:b/>
          <w:sz w:val="28"/>
          <w:szCs w:val="28"/>
        </w:rPr>
      </w:pPr>
      <w:r w:rsidRPr="00087077">
        <w:rPr>
          <w:rFonts w:ascii="Century Gothic" w:hAnsi="Century Gothic" w:cs="Tahoma"/>
          <w:b/>
          <w:sz w:val="28"/>
          <w:szCs w:val="28"/>
        </w:rPr>
        <w:t>P.M.B 33 GARKI, ABUJA, NIGERIA</w:t>
      </w:r>
    </w:p>
    <w:p w14:paraId="7997AD55" w14:textId="77777777" w:rsidR="00ED4739" w:rsidRPr="00087077" w:rsidRDefault="00ED4739" w:rsidP="00ED4739">
      <w:pPr>
        <w:pStyle w:val="NoSpacing"/>
        <w:jc w:val="center"/>
        <w:rPr>
          <w:rFonts w:ascii="Century Gothic" w:hAnsi="Century Gothic" w:cs="Tahoma"/>
          <w:b/>
          <w:sz w:val="28"/>
          <w:szCs w:val="28"/>
        </w:rPr>
      </w:pPr>
    </w:p>
    <w:p w14:paraId="4AE19389" w14:textId="77777777" w:rsidR="00ED4739" w:rsidRPr="00087077" w:rsidRDefault="00ED4739" w:rsidP="00ED4739">
      <w:pPr>
        <w:pStyle w:val="NoSpacing"/>
        <w:jc w:val="center"/>
        <w:rPr>
          <w:rFonts w:ascii="Century Gothic" w:hAnsi="Century Gothic" w:cs="Tahoma"/>
          <w:b/>
          <w:sz w:val="28"/>
          <w:szCs w:val="28"/>
        </w:rPr>
      </w:pPr>
      <w:r w:rsidRPr="00087077">
        <w:rPr>
          <w:rFonts w:ascii="Century Gothic" w:hAnsi="Century Gothic" w:cs="Tahoma"/>
          <w:b/>
          <w:sz w:val="28"/>
          <w:szCs w:val="28"/>
        </w:rPr>
        <w:t>PUBLIC NOTICE</w:t>
      </w:r>
    </w:p>
    <w:p w14:paraId="4AE5B9C6" w14:textId="77777777" w:rsidR="00ED4739" w:rsidRPr="00087077" w:rsidRDefault="00ED4739" w:rsidP="00ED4739">
      <w:pPr>
        <w:pStyle w:val="NoSpacing"/>
        <w:jc w:val="center"/>
        <w:rPr>
          <w:rFonts w:ascii="Century Gothic" w:hAnsi="Century Gothic" w:cs="Tahoma"/>
          <w:sz w:val="28"/>
          <w:szCs w:val="28"/>
        </w:rPr>
      </w:pPr>
    </w:p>
    <w:p w14:paraId="6A14B3F3" w14:textId="77777777" w:rsidR="00ED4739" w:rsidRPr="00087077" w:rsidRDefault="00ED4739" w:rsidP="00ED4739">
      <w:pPr>
        <w:pStyle w:val="NoSpacing"/>
        <w:jc w:val="center"/>
        <w:rPr>
          <w:rFonts w:ascii="Century Gothic" w:hAnsi="Century Gothic" w:cs="Tahoma"/>
          <w:b/>
          <w:sz w:val="28"/>
          <w:szCs w:val="28"/>
          <w:u w:val="single"/>
        </w:rPr>
      </w:pPr>
      <w:r w:rsidRPr="00087077">
        <w:rPr>
          <w:rFonts w:ascii="Century Gothic" w:hAnsi="Century Gothic" w:cs="Tahoma"/>
          <w:b/>
          <w:sz w:val="28"/>
          <w:szCs w:val="28"/>
          <w:u w:val="single"/>
        </w:rPr>
        <w:t>PAYMENT OF OUTSTANDING FOREIGN CURRENCY TAX LIABILITIES IN NAIRA</w:t>
      </w:r>
    </w:p>
    <w:p w14:paraId="37485502" w14:textId="77777777" w:rsidR="00ED4739" w:rsidRPr="00087077" w:rsidRDefault="00ED4739" w:rsidP="00ED4739">
      <w:pPr>
        <w:pStyle w:val="NoSpacing"/>
        <w:jc w:val="center"/>
        <w:rPr>
          <w:rFonts w:ascii="Century Gothic" w:hAnsi="Century Gothic" w:cs="Tahoma"/>
          <w:sz w:val="28"/>
          <w:szCs w:val="28"/>
        </w:rPr>
      </w:pPr>
    </w:p>
    <w:p w14:paraId="2679FCB0" w14:textId="233FC73D" w:rsidR="00CB5E21" w:rsidRPr="00087077" w:rsidRDefault="00CB5E21" w:rsidP="00CB5E21">
      <w:pPr>
        <w:pStyle w:val="NoSpacing"/>
        <w:numPr>
          <w:ilvl w:val="0"/>
          <w:numId w:val="1"/>
        </w:numPr>
        <w:jc w:val="both"/>
        <w:rPr>
          <w:rFonts w:ascii="Century Gothic" w:hAnsi="Century Gothic" w:cs="Tahoma"/>
          <w:sz w:val="28"/>
          <w:szCs w:val="28"/>
        </w:rPr>
      </w:pPr>
      <w:r w:rsidRPr="00087077">
        <w:rPr>
          <w:rFonts w:ascii="Century Gothic" w:hAnsi="Century Gothic" w:cs="Tahoma"/>
          <w:sz w:val="28"/>
          <w:szCs w:val="28"/>
        </w:rPr>
        <w:t xml:space="preserve">In view of the number of requests, enquiries and the challenges encountered by the taxpaying public in sourcing for foreign currencies to offset outstanding tax liabilities, the Federal Inland Revenue Service (“the Service”) wishes to inform our esteemed taxpayers that a one-month window has now been opened for this category of taxpayers to settle their foreign currency tax liabilities in Naira with effect from the 1st of March, 2022 to 31st of March, 2022. </w:t>
      </w:r>
    </w:p>
    <w:p w14:paraId="4D6F494A" w14:textId="490B1459" w:rsidR="00CB5E21" w:rsidRPr="00087077" w:rsidRDefault="00CB5E21" w:rsidP="00CB5E21">
      <w:pPr>
        <w:pStyle w:val="NoSpacing"/>
        <w:ind w:firstLine="68"/>
        <w:jc w:val="both"/>
        <w:rPr>
          <w:rFonts w:ascii="Century Gothic" w:hAnsi="Century Gothic" w:cs="Tahoma"/>
          <w:sz w:val="28"/>
          <w:szCs w:val="28"/>
        </w:rPr>
      </w:pPr>
    </w:p>
    <w:p w14:paraId="415B6DA1" w14:textId="77777777" w:rsidR="00CB5E21" w:rsidRPr="00087077" w:rsidRDefault="00CB5E21" w:rsidP="00CB5E21">
      <w:pPr>
        <w:pStyle w:val="NoSpacing"/>
        <w:numPr>
          <w:ilvl w:val="0"/>
          <w:numId w:val="1"/>
        </w:numPr>
        <w:jc w:val="both"/>
        <w:rPr>
          <w:rFonts w:ascii="Century Gothic" w:hAnsi="Century Gothic" w:cs="Tahoma"/>
          <w:sz w:val="28"/>
          <w:szCs w:val="28"/>
        </w:rPr>
      </w:pPr>
      <w:r w:rsidRPr="00087077">
        <w:rPr>
          <w:rFonts w:ascii="Century Gothic" w:hAnsi="Century Gothic" w:cs="Tahoma"/>
          <w:sz w:val="28"/>
          <w:szCs w:val="28"/>
        </w:rPr>
        <w:t xml:space="preserve">The extant provision is that the currency of the transaction should be the currency with which the tax is paid. However, this is a one-off window/concession, and the Service would no longer entertain any such request from the taxpaying public. </w:t>
      </w:r>
    </w:p>
    <w:p w14:paraId="6B8999D8" w14:textId="491867A8" w:rsidR="00CB5E21" w:rsidRPr="00087077" w:rsidRDefault="00CB5E21" w:rsidP="00CB5E21">
      <w:pPr>
        <w:pStyle w:val="NoSpacing"/>
        <w:ind w:firstLine="68"/>
        <w:jc w:val="both"/>
        <w:rPr>
          <w:rFonts w:ascii="Century Gothic" w:hAnsi="Century Gothic" w:cs="Tahoma"/>
          <w:sz w:val="28"/>
          <w:szCs w:val="28"/>
        </w:rPr>
      </w:pPr>
    </w:p>
    <w:p w14:paraId="18DFE3F0" w14:textId="77777777" w:rsidR="00CB5E21" w:rsidRPr="00087077" w:rsidRDefault="00CB5E21" w:rsidP="00CB5E21">
      <w:pPr>
        <w:pStyle w:val="NoSpacing"/>
        <w:numPr>
          <w:ilvl w:val="0"/>
          <w:numId w:val="1"/>
        </w:numPr>
        <w:jc w:val="both"/>
        <w:rPr>
          <w:rFonts w:ascii="Century Gothic" w:hAnsi="Century Gothic" w:cs="Tahoma"/>
          <w:sz w:val="28"/>
          <w:szCs w:val="28"/>
        </w:rPr>
      </w:pPr>
      <w:r w:rsidRPr="00087077">
        <w:rPr>
          <w:rFonts w:ascii="Century Gothic" w:hAnsi="Century Gothic" w:cs="Tahoma"/>
          <w:sz w:val="28"/>
          <w:szCs w:val="28"/>
        </w:rPr>
        <w:t>The applicable rate shall be the Investors and Exporters (I&amp;E) foreign exchange rate of the Central Bank of Nigeria (CBN) prevailing on the date of the transaction and or when the tax obligation falls due.</w:t>
      </w:r>
    </w:p>
    <w:p w14:paraId="60383A63" w14:textId="484D8341" w:rsidR="00CB5E21" w:rsidRPr="00087077" w:rsidRDefault="00CB5E21" w:rsidP="00CB5E21">
      <w:pPr>
        <w:pStyle w:val="NoSpacing"/>
        <w:ind w:firstLine="68"/>
        <w:jc w:val="both"/>
        <w:rPr>
          <w:rFonts w:ascii="Century Gothic" w:hAnsi="Century Gothic" w:cs="Tahoma"/>
          <w:sz w:val="28"/>
          <w:szCs w:val="28"/>
        </w:rPr>
      </w:pPr>
    </w:p>
    <w:p w14:paraId="6824DDC0" w14:textId="60CB25DB" w:rsidR="00CB5E21" w:rsidRPr="00087077" w:rsidRDefault="00CB5E21" w:rsidP="00CB5E21">
      <w:pPr>
        <w:pStyle w:val="NoSpacing"/>
        <w:numPr>
          <w:ilvl w:val="0"/>
          <w:numId w:val="1"/>
        </w:numPr>
        <w:jc w:val="both"/>
        <w:rPr>
          <w:rFonts w:ascii="Century Gothic" w:hAnsi="Century Gothic" w:cs="Tahoma"/>
          <w:sz w:val="28"/>
          <w:szCs w:val="28"/>
        </w:rPr>
      </w:pPr>
      <w:r w:rsidRPr="00087077">
        <w:rPr>
          <w:rFonts w:ascii="Century Gothic" w:hAnsi="Century Gothic" w:cs="Tahoma"/>
          <w:sz w:val="28"/>
          <w:szCs w:val="28"/>
        </w:rPr>
        <w:t>This concession is available to all taxpayers and covers all tax types, except for companies in the Upstream (Oil &amp; Gas) Sector and all foreign currency tax liabilities falling due on or before 31st December, 2021.</w:t>
      </w:r>
    </w:p>
    <w:p w14:paraId="695BFD44" w14:textId="60B12BAE" w:rsidR="00CB5E21" w:rsidRPr="00087077" w:rsidRDefault="00CB5E21" w:rsidP="00CB5E21">
      <w:pPr>
        <w:pStyle w:val="NoSpacing"/>
        <w:ind w:firstLine="68"/>
        <w:jc w:val="both"/>
        <w:rPr>
          <w:rFonts w:ascii="Century Gothic" w:hAnsi="Century Gothic" w:cs="Tahoma"/>
          <w:sz w:val="28"/>
          <w:szCs w:val="28"/>
        </w:rPr>
      </w:pPr>
    </w:p>
    <w:p w14:paraId="091016D6" w14:textId="21AC3D22" w:rsidR="00CB5E21" w:rsidRPr="008817C4" w:rsidRDefault="00CB5E21" w:rsidP="008817C4">
      <w:pPr>
        <w:pStyle w:val="NoSpacing"/>
        <w:numPr>
          <w:ilvl w:val="0"/>
          <w:numId w:val="1"/>
        </w:numPr>
        <w:jc w:val="both"/>
        <w:rPr>
          <w:rFonts w:ascii="Century Gothic" w:hAnsi="Century Gothic" w:cs="Tahoma"/>
          <w:sz w:val="28"/>
          <w:szCs w:val="28"/>
        </w:rPr>
      </w:pPr>
      <w:r w:rsidRPr="00087077">
        <w:rPr>
          <w:rFonts w:ascii="Century Gothic" w:hAnsi="Century Gothic" w:cs="Tahoma"/>
          <w:sz w:val="28"/>
          <w:szCs w:val="28"/>
        </w:rPr>
        <w:t xml:space="preserve">All payments must be made before the 31st of March, 2022 and upon payment, the relevant documents relating to the transaction </w:t>
      </w:r>
      <w:r w:rsidR="008817C4">
        <w:rPr>
          <w:rFonts w:ascii="Century Gothic" w:hAnsi="Century Gothic" w:cs="Tahoma"/>
          <w:sz w:val="28"/>
          <w:szCs w:val="28"/>
        </w:rPr>
        <w:t xml:space="preserve">together </w:t>
      </w:r>
      <w:r w:rsidRPr="00087077">
        <w:rPr>
          <w:rFonts w:ascii="Century Gothic" w:hAnsi="Century Gothic" w:cs="Tahoma"/>
          <w:sz w:val="28"/>
          <w:szCs w:val="28"/>
        </w:rPr>
        <w:t>with</w:t>
      </w:r>
      <w:r w:rsidR="008817C4">
        <w:rPr>
          <w:rFonts w:ascii="Century Gothic" w:hAnsi="Century Gothic" w:cs="Tahoma"/>
          <w:sz w:val="28"/>
          <w:szCs w:val="28"/>
        </w:rPr>
        <w:t xml:space="preserve"> the </w:t>
      </w:r>
      <w:r w:rsidRPr="00087077">
        <w:rPr>
          <w:rFonts w:ascii="Century Gothic" w:hAnsi="Century Gothic" w:cs="Tahoma"/>
          <w:sz w:val="28"/>
          <w:szCs w:val="28"/>
        </w:rPr>
        <w:t xml:space="preserve">evidence of payment must be forwarded to the </w:t>
      </w:r>
      <w:r w:rsidRPr="008817C4">
        <w:rPr>
          <w:rFonts w:ascii="Century Gothic" w:hAnsi="Century Gothic" w:cs="Tahoma"/>
          <w:sz w:val="28"/>
          <w:szCs w:val="28"/>
        </w:rPr>
        <w:t>Office of the Executive Chairman, and a copy submitted to the local tax office where the taxpayer’s file is domiciled.</w:t>
      </w:r>
    </w:p>
    <w:p w14:paraId="4948D041" w14:textId="07E58E9A" w:rsidR="00CB5E21" w:rsidRPr="00087077" w:rsidRDefault="00CB5E21" w:rsidP="00CB5E21">
      <w:pPr>
        <w:pStyle w:val="NoSpacing"/>
        <w:ind w:firstLine="68"/>
        <w:jc w:val="both"/>
        <w:rPr>
          <w:rFonts w:ascii="Century Gothic" w:hAnsi="Century Gothic" w:cs="Tahoma"/>
          <w:sz w:val="28"/>
          <w:szCs w:val="28"/>
        </w:rPr>
      </w:pPr>
    </w:p>
    <w:p w14:paraId="35F125E0" w14:textId="096A3684" w:rsidR="00754B20" w:rsidRPr="00087077" w:rsidRDefault="00CB5E21" w:rsidP="00CB5E21">
      <w:pPr>
        <w:pStyle w:val="NoSpacing"/>
        <w:numPr>
          <w:ilvl w:val="0"/>
          <w:numId w:val="1"/>
        </w:numPr>
        <w:jc w:val="both"/>
        <w:rPr>
          <w:rFonts w:ascii="Century Gothic" w:hAnsi="Century Gothic" w:cs="Tahoma"/>
          <w:sz w:val="28"/>
          <w:szCs w:val="28"/>
        </w:rPr>
      </w:pPr>
      <w:r w:rsidRPr="00087077">
        <w:rPr>
          <w:rFonts w:ascii="Century Gothic" w:hAnsi="Century Gothic" w:cs="Tahoma"/>
          <w:sz w:val="28"/>
          <w:szCs w:val="28"/>
        </w:rPr>
        <w:t xml:space="preserve">Further enquiries should be directed to the Executive Chairman, Federal Inland Revenue Service, Revenue House, 15 </w:t>
      </w:r>
      <w:proofErr w:type="spellStart"/>
      <w:r w:rsidRPr="00087077">
        <w:rPr>
          <w:rFonts w:ascii="Century Gothic" w:hAnsi="Century Gothic" w:cs="Tahoma"/>
          <w:sz w:val="28"/>
          <w:szCs w:val="28"/>
        </w:rPr>
        <w:t>Sokode</w:t>
      </w:r>
      <w:proofErr w:type="spellEnd"/>
      <w:r w:rsidRPr="00087077">
        <w:rPr>
          <w:rFonts w:ascii="Century Gothic" w:hAnsi="Century Gothic" w:cs="Tahoma"/>
          <w:sz w:val="28"/>
          <w:szCs w:val="28"/>
        </w:rPr>
        <w:t xml:space="preserve"> Crescent, </w:t>
      </w:r>
      <w:proofErr w:type="spellStart"/>
      <w:r w:rsidRPr="00087077">
        <w:rPr>
          <w:rFonts w:ascii="Century Gothic" w:hAnsi="Century Gothic" w:cs="Tahoma"/>
          <w:sz w:val="28"/>
          <w:szCs w:val="28"/>
        </w:rPr>
        <w:t>Wuse</w:t>
      </w:r>
      <w:proofErr w:type="spellEnd"/>
      <w:r w:rsidRPr="00087077">
        <w:rPr>
          <w:rFonts w:ascii="Century Gothic" w:hAnsi="Century Gothic" w:cs="Tahoma"/>
          <w:sz w:val="28"/>
          <w:szCs w:val="28"/>
        </w:rPr>
        <w:t xml:space="preserve"> Zone 5, Abuja.</w:t>
      </w:r>
    </w:p>
    <w:p w14:paraId="7F46DC5C" w14:textId="77777777" w:rsidR="00086DDA" w:rsidRPr="00087077" w:rsidRDefault="00086DDA" w:rsidP="007C7363">
      <w:pPr>
        <w:pStyle w:val="NoSpacing"/>
        <w:jc w:val="both"/>
        <w:rPr>
          <w:rFonts w:ascii="Century Gothic" w:hAnsi="Century Gothic" w:cs="Tahoma"/>
          <w:sz w:val="28"/>
          <w:szCs w:val="28"/>
        </w:rPr>
      </w:pPr>
    </w:p>
    <w:p w14:paraId="5C80BB64" w14:textId="77777777" w:rsidR="00086DDA" w:rsidRPr="00087077" w:rsidRDefault="00086DDA" w:rsidP="00086DDA">
      <w:pPr>
        <w:pStyle w:val="NoSpacing"/>
        <w:jc w:val="center"/>
        <w:rPr>
          <w:rFonts w:ascii="Century Gothic" w:hAnsi="Century Gothic" w:cs="Tahoma"/>
          <w:b/>
          <w:sz w:val="28"/>
          <w:szCs w:val="28"/>
        </w:rPr>
      </w:pPr>
      <w:r w:rsidRPr="00087077">
        <w:rPr>
          <w:rFonts w:ascii="Century Gothic" w:hAnsi="Century Gothic" w:cs="Tahoma"/>
          <w:b/>
          <w:sz w:val="28"/>
          <w:szCs w:val="28"/>
        </w:rPr>
        <w:t>Signed</w:t>
      </w:r>
    </w:p>
    <w:p w14:paraId="51A1E2D7" w14:textId="77777777" w:rsidR="00086DDA" w:rsidRPr="00087077" w:rsidRDefault="00086DDA" w:rsidP="00086DDA">
      <w:pPr>
        <w:pStyle w:val="NoSpacing"/>
        <w:jc w:val="center"/>
        <w:rPr>
          <w:rFonts w:ascii="Century Gothic" w:hAnsi="Century Gothic" w:cs="Tahoma"/>
          <w:b/>
          <w:sz w:val="28"/>
          <w:szCs w:val="28"/>
        </w:rPr>
      </w:pPr>
      <w:r w:rsidRPr="00087077">
        <w:rPr>
          <w:rFonts w:ascii="Century Gothic" w:hAnsi="Century Gothic" w:cs="Tahoma"/>
          <w:b/>
          <w:sz w:val="28"/>
          <w:szCs w:val="28"/>
        </w:rPr>
        <w:t>Muhammad Nami</w:t>
      </w:r>
    </w:p>
    <w:p w14:paraId="4A882114" w14:textId="77777777" w:rsidR="00086DDA" w:rsidRPr="00087077" w:rsidRDefault="00086DDA" w:rsidP="00086DDA">
      <w:pPr>
        <w:pStyle w:val="NoSpacing"/>
        <w:jc w:val="center"/>
        <w:rPr>
          <w:rFonts w:ascii="Century Gothic" w:hAnsi="Century Gothic" w:cs="Tahoma"/>
          <w:b/>
          <w:sz w:val="28"/>
          <w:szCs w:val="28"/>
        </w:rPr>
      </w:pPr>
      <w:r w:rsidRPr="00087077">
        <w:rPr>
          <w:rFonts w:ascii="Century Gothic" w:hAnsi="Century Gothic" w:cs="Tahoma"/>
          <w:b/>
          <w:sz w:val="28"/>
          <w:szCs w:val="28"/>
        </w:rPr>
        <w:t>Executive Chairman</w:t>
      </w:r>
    </w:p>
    <w:p w14:paraId="6369E756" w14:textId="77777777" w:rsidR="00ED4739" w:rsidRPr="00087077" w:rsidRDefault="00754B20" w:rsidP="00754B20">
      <w:pPr>
        <w:pStyle w:val="NoSpacing"/>
        <w:jc w:val="center"/>
        <w:rPr>
          <w:rFonts w:ascii="Century Gothic" w:hAnsi="Century Gothic" w:cs="Tahoma"/>
          <w:b/>
          <w:sz w:val="28"/>
          <w:szCs w:val="28"/>
        </w:rPr>
      </w:pPr>
      <w:r w:rsidRPr="00087077">
        <w:rPr>
          <w:rFonts w:ascii="Century Gothic" w:hAnsi="Century Gothic" w:cs="Tahoma"/>
          <w:b/>
          <w:sz w:val="28"/>
          <w:szCs w:val="28"/>
        </w:rPr>
        <w:t>Federal Inland Revenue Service</w:t>
      </w:r>
    </w:p>
    <w:sectPr w:rsidR="00ED4739" w:rsidRPr="00087077" w:rsidSect="00D0570B">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B569F"/>
    <w:multiLevelType w:val="hybridMultilevel"/>
    <w:tmpl w:val="CC902F22"/>
    <w:lvl w:ilvl="0" w:tplc="0C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39"/>
    <w:rsid w:val="00086DDA"/>
    <w:rsid w:val="00087077"/>
    <w:rsid w:val="001B1855"/>
    <w:rsid w:val="00590459"/>
    <w:rsid w:val="006437C6"/>
    <w:rsid w:val="00651128"/>
    <w:rsid w:val="00754B20"/>
    <w:rsid w:val="007707A0"/>
    <w:rsid w:val="00786745"/>
    <w:rsid w:val="007C7363"/>
    <w:rsid w:val="008817C4"/>
    <w:rsid w:val="00B024B1"/>
    <w:rsid w:val="00B60688"/>
    <w:rsid w:val="00B9781C"/>
    <w:rsid w:val="00CB5E21"/>
    <w:rsid w:val="00D0570B"/>
    <w:rsid w:val="00ED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567B"/>
  <w15:chartTrackingRefBased/>
  <w15:docId w15:val="{0F4F9D31-F724-45D3-AB78-A5A77D46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739"/>
    <w:pPr>
      <w:spacing w:after="0" w:line="240" w:lineRule="auto"/>
    </w:pPr>
  </w:style>
  <w:style w:type="paragraph" w:styleId="BalloonText">
    <w:name w:val="Balloon Text"/>
    <w:basedOn w:val="Normal"/>
    <w:link w:val="BalloonTextChar"/>
    <w:uiPriority w:val="99"/>
    <w:semiHidden/>
    <w:unhideWhenUsed/>
    <w:rsid w:val="0075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20"/>
    <w:rPr>
      <w:rFonts w:ascii="Segoe UI" w:hAnsi="Segoe UI" w:cs="Segoe UI"/>
      <w:sz w:val="18"/>
      <w:szCs w:val="18"/>
    </w:rPr>
  </w:style>
  <w:style w:type="paragraph" w:styleId="ListParagraph">
    <w:name w:val="List Paragraph"/>
    <w:basedOn w:val="Normal"/>
    <w:uiPriority w:val="34"/>
    <w:qFormat/>
    <w:rsid w:val="0088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Olusegun SOSIMI</dc:creator>
  <cp:keywords/>
  <dc:description/>
  <cp:lastModifiedBy>oziusman@yahoo.com</cp:lastModifiedBy>
  <cp:revision>2</cp:revision>
  <cp:lastPrinted>2022-03-02T18:48:00Z</cp:lastPrinted>
  <dcterms:created xsi:type="dcterms:W3CDTF">2022-03-03T09:02:00Z</dcterms:created>
  <dcterms:modified xsi:type="dcterms:W3CDTF">2022-03-03T09:02:00Z</dcterms:modified>
</cp:coreProperties>
</file>